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B5" w:rsidRDefault="006745B5" w:rsidP="006745B5">
      <w:pPr>
        <w:pStyle w:val="Revisin"/>
        <w:spacing w:before="10"/>
        <w:rPr>
          <w:b/>
          <w:sz w:val="30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489627" wp14:editId="5AB5461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169545"/>
                <wp:effectExtent l="0" t="0" r="0" b="1905"/>
                <wp:wrapThrough wrapText="bothSides">
                  <wp:wrapPolygon edited="0">
                    <wp:start x="0" y="0"/>
                    <wp:lineTo x="0" y="19416"/>
                    <wp:lineTo x="21540" y="19416"/>
                    <wp:lineTo x="21540" y="0"/>
                    <wp:lineTo x="0" y="0"/>
                  </wp:wrapPolygon>
                </wp:wrapThrough>
                <wp:docPr id="632" name="Cuadro de texto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9545"/>
                        </a:xfrm>
                        <a:prstGeom prst="rect">
                          <a:avLst/>
                        </a:prstGeom>
                        <a:solidFill>
                          <a:srgbClr val="9288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B5" w:rsidRDefault="006745B5" w:rsidP="006745B5">
                            <w:pPr>
                              <w:pStyle w:val="Revisin"/>
                              <w:spacing w:before="10"/>
                              <w:rPr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89627" id="_x0000_t202" coordsize="21600,21600" o:spt="202" path="m,l,21600r21600,l21600,xe">
                <v:stroke joinstyle="miter"/>
                <v:path gradientshapeok="t" o:connecttype="rect"/>
              </v:shapetype>
              <v:shape id="Cuadro de texto 632" o:spid="_x0000_s1026" type="#_x0000_t202" style="position:absolute;left:0;text-align:left;margin-left:0;margin-top:0;width:540pt;height:13.3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" fillcolor="#928852" stroked="f">
                <v:textbox inset="0,0,0,0">
                  <w:txbxContent>
                    <w:p w:rsidR="006745B5" w:rsidRDefault="006745B5" w:rsidP="006745B5">
                      <w:pPr>
                        <w:pStyle w:val="Revisin"/>
                        <w:spacing w:before="10"/>
                        <w:rPr>
                          <w:b/>
                          <w:sz w:val="30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CD6ACD">
        <w:rPr>
          <w:rFonts w:ascii="Arial" w:hAnsi="Arial" w:cs="Arial"/>
          <w:sz w:val="24"/>
          <w:szCs w:val="24"/>
        </w:rPr>
        <w:t xml:space="preserve">   </w:t>
      </w: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774F8865" wp14:editId="41307DEE">
            <wp:simplePos x="0" y="0"/>
            <wp:positionH relativeFrom="column">
              <wp:posOffset>1912839</wp:posOffset>
            </wp:positionH>
            <wp:positionV relativeFrom="paragraph">
              <wp:posOffset>7533</wp:posOffset>
            </wp:positionV>
            <wp:extent cx="1757045" cy="1709420"/>
            <wp:effectExtent l="0" t="0" r="0" b="5080"/>
            <wp:wrapThrough wrapText="bothSides">
              <wp:wrapPolygon edited="0">
                <wp:start x="7962" y="0"/>
                <wp:lineTo x="6089" y="481"/>
                <wp:lineTo x="1874" y="3129"/>
                <wp:lineTo x="0" y="7462"/>
                <wp:lineTo x="0" y="13239"/>
                <wp:lineTo x="468" y="15406"/>
                <wp:lineTo x="3513" y="19738"/>
                <wp:lineTo x="7494" y="21423"/>
                <wp:lineTo x="8431" y="21423"/>
                <wp:lineTo x="12880" y="21423"/>
                <wp:lineTo x="13583" y="21423"/>
                <wp:lineTo x="17564" y="19498"/>
                <wp:lineTo x="17798" y="19257"/>
                <wp:lineTo x="20843" y="15406"/>
                <wp:lineTo x="21311" y="12999"/>
                <wp:lineTo x="21311" y="7703"/>
                <wp:lineTo x="20374" y="5536"/>
                <wp:lineTo x="19672" y="3129"/>
                <wp:lineTo x="15222" y="481"/>
                <wp:lineTo x="13349" y="0"/>
                <wp:lineTo x="7962" y="0"/>
              </wp:wrapPolygon>
            </wp:wrapThrough>
            <wp:docPr id="1274" name="Imagen 1274" descr="Index of /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 of /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804" w:rsidRDefault="006745B5" w:rsidP="006745B5">
      <w:pPr>
        <w:spacing w:before="99" w:line="360" w:lineRule="auto"/>
        <w:ind w:left="1185" w:right="2149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PROGRAMA</w:t>
      </w:r>
      <w:r w:rsidR="006D4804">
        <w:rPr>
          <w:rFonts w:ascii="Arial" w:hAnsi="Arial" w:cs="Arial"/>
          <w:b/>
          <w:bCs/>
          <w:color w:val="404040"/>
          <w:sz w:val="24"/>
          <w:szCs w:val="24"/>
        </w:rPr>
        <w:t xml:space="preserve"> ANUAL DE EVALUACIONES</w:t>
      </w:r>
      <w:r w:rsidR="00DD1D39">
        <w:rPr>
          <w:rFonts w:ascii="Arial" w:hAnsi="Arial" w:cs="Arial"/>
          <w:b/>
          <w:bCs/>
          <w:color w:val="404040"/>
          <w:sz w:val="24"/>
          <w:szCs w:val="24"/>
        </w:rPr>
        <w:t xml:space="preserve"> 2020</w:t>
      </w:r>
    </w:p>
    <w:p w:rsidR="006745B5" w:rsidRPr="00CD6ACD" w:rsidRDefault="006745B5" w:rsidP="006745B5">
      <w:pPr>
        <w:spacing w:before="99" w:line="360" w:lineRule="auto"/>
        <w:ind w:left="1185" w:right="2149"/>
        <w:jc w:val="center"/>
        <w:rPr>
          <w:rFonts w:ascii="Arial" w:hAnsi="Arial" w:cs="Arial"/>
          <w:b/>
          <w:bCs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EVALUACIÓN ESPECÍFICA DE DESEMPEÑO PP U006</w:t>
      </w:r>
    </w:p>
    <w:p w:rsidR="006745B5" w:rsidRPr="00CD6ACD" w:rsidRDefault="006745B5" w:rsidP="006745B5">
      <w:pPr>
        <w:spacing w:before="2" w:line="360" w:lineRule="auto"/>
        <w:ind w:left="2541" w:right="3500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INSTITUTO TECNOLÓGICO DE ESTUDIOS SUPERIORES DE LA REGIÓN CARBONÍFERA</w:t>
      </w:r>
    </w:p>
    <w:p w:rsidR="006745B5" w:rsidRPr="00CD6ACD" w:rsidRDefault="006745B5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6745B5" w:rsidRPr="00CD6ACD" w:rsidSect="006745B5">
          <w:headerReference w:type="default" r:id="rId8"/>
          <w:footerReference w:type="default" r:id="rId9"/>
          <w:pgSz w:w="12240" w:h="15840"/>
          <w:pgMar w:top="993" w:right="1467" w:bottom="1240" w:left="1520" w:header="708" w:footer="1044" w:gutter="0"/>
          <w:pgNumType w:start="1"/>
          <w:cols w:space="720"/>
        </w:sectPr>
      </w:pPr>
    </w:p>
    <w:p w:rsidR="006745B5" w:rsidRPr="00CD6ACD" w:rsidRDefault="006745B5" w:rsidP="006745B5">
      <w:pPr>
        <w:spacing w:before="101" w:line="360" w:lineRule="auto"/>
        <w:jc w:val="both"/>
        <w:rPr>
          <w:rFonts w:ascii="Arial" w:hAnsi="Arial" w:cs="Arial"/>
          <w:sz w:val="24"/>
          <w:szCs w:val="24"/>
        </w:rPr>
      </w:pPr>
    </w:p>
    <w:p w:rsidR="00DF2F0B" w:rsidRDefault="006D4804" w:rsidP="00DF2F0B">
      <w:pPr>
        <w:tabs>
          <w:tab w:val="left" w:pos="7371"/>
        </w:tabs>
        <w:spacing w:before="99" w:line="360" w:lineRule="auto"/>
        <w:ind w:left="142" w:right="1467"/>
        <w:jc w:val="center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 w:rsidRPr="006D4804">
        <w:rPr>
          <w:rFonts w:ascii="Arial" w:hAnsi="Arial" w:cs="Arial"/>
          <w:b/>
          <w:color w:val="525252" w:themeColor="accent3" w:themeShade="80"/>
          <w:sz w:val="28"/>
          <w:szCs w:val="28"/>
        </w:rPr>
        <w:t>PROGRAMA ANUAL DE EVALUACIONES</w:t>
      </w:r>
    </w:p>
    <w:p w:rsidR="006D4804" w:rsidRPr="00DF2F0B" w:rsidRDefault="006D4804" w:rsidP="00DF2F0B">
      <w:pPr>
        <w:tabs>
          <w:tab w:val="left" w:pos="7371"/>
        </w:tabs>
        <w:spacing w:before="99" w:line="360" w:lineRule="auto"/>
        <w:ind w:left="142" w:right="1467"/>
        <w:jc w:val="center"/>
        <w:rPr>
          <w:rFonts w:ascii="Arial" w:hAnsi="Arial" w:cs="Arial"/>
          <w:bCs/>
          <w:sz w:val="28"/>
          <w:szCs w:val="24"/>
        </w:rPr>
      </w:pPr>
      <w:r w:rsidRPr="006D4804">
        <w:rPr>
          <w:rFonts w:ascii="Arial" w:hAnsi="Arial" w:cs="Arial"/>
          <w:b/>
          <w:color w:val="525252" w:themeColor="accent3" w:themeShade="80"/>
          <w:sz w:val="28"/>
          <w:szCs w:val="28"/>
        </w:rPr>
        <w:t xml:space="preserve"> </w:t>
      </w:r>
      <w:r w:rsidRPr="00DF2F0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EVALUACIÓN ESPECÍFICA DE DESEMPEÑO PP U006 DEL </w:t>
      </w:r>
      <w:r w:rsidRPr="00DF2F0B">
        <w:rPr>
          <w:rFonts w:ascii="Arial" w:hAnsi="Arial" w:cs="Arial"/>
          <w:b/>
          <w:bCs/>
          <w:color w:val="404040"/>
          <w:sz w:val="24"/>
          <w:szCs w:val="24"/>
        </w:rPr>
        <w:t>INSTITUTO TECNOLÓGICO DE ESTUDIOS SUPERIORES DE LA REGIÓN CARBONÍFERA</w:t>
      </w:r>
      <w:r w:rsidRPr="00DF2F0B">
        <w:rPr>
          <w:rFonts w:ascii="Arial" w:hAnsi="Arial" w:cs="Arial"/>
          <w:bCs/>
          <w:sz w:val="28"/>
          <w:szCs w:val="24"/>
        </w:rPr>
        <w:t xml:space="preserve"> </w:t>
      </w:r>
      <w:r w:rsidR="00A00201">
        <w:rPr>
          <w:rFonts w:ascii="Arial" w:hAnsi="Arial" w:cs="Arial"/>
          <w:bCs/>
          <w:sz w:val="28"/>
          <w:szCs w:val="24"/>
        </w:rPr>
        <w:t xml:space="preserve"> 2020</w:t>
      </w:r>
    </w:p>
    <w:p w:rsidR="00DF2F0B" w:rsidRDefault="00DF2F0B" w:rsidP="00DF2F0B">
      <w:pPr>
        <w:spacing w:before="99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6745B5" w:rsidRPr="00CD6ACD" w:rsidRDefault="00DF2F0B" w:rsidP="00DF2F0B">
      <w:pPr>
        <w:spacing w:before="99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6745B5" w:rsidRPr="00CD6ACD">
        <w:rPr>
          <w:rFonts w:ascii="Arial" w:hAnsi="Arial" w:cs="Arial"/>
          <w:bCs/>
          <w:sz w:val="24"/>
          <w:szCs w:val="24"/>
        </w:rPr>
        <w:t xml:space="preserve">a evaluación específica del desempeño del Instituto Tecnológico de Estudios Superiores de la Región Carbonífera, se realizarán </w:t>
      </w:r>
      <w:r>
        <w:rPr>
          <w:rFonts w:ascii="Arial" w:hAnsi="Arial" w:cs="Arial"/>
          <w:bCs/>
          <w:sz w:val="24"/>
          <w:szCs w:val="24"/>
        </w:rPr>
        <w:t>de acuerdo a</w:t>
      </w:r>
      <w:r w:rsidR="006620C2">
        <w:rPr>
          <w:rFonts w:ascii="Arial" w:hAnsi="Arial" w:cs="Arial"/>
          <w:bCs/>
          <w:sz w:val="24"/>
          <w:szCs w:val="24"/>
        </w:rPr>
        <w:t xml:space="preserve"> los términos de referencia mencionados abajo y de acuerdo al siguiente calendario</w:t>
      </w:r>
      <w:r w:rsidR="006745B5" w:rsidRPr="00CD6ACD">
        <w:rPr>
          <w:rFonts w:ascii="Arial" w:hAnsi="Arial" w:cs="Arial"/>
          <w:bCs/>
          <w:sz w:val="24"/>
          <w:szCs w:val="24"/>
        </w:rPr>
        <w:t>:</w:t>
      </w:r>
    </w:p>
    <w:p w:rsidR="006745B5" w:rsidRPr="00CD6ACD" w:rsidRDefault="006745B5" w:rsidP="006745B5">
      <w:pPr>
        <w:spacing w:before="101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670"/>
        <w:gridCol w:w="1752"/>
      </w:tblGrid>
      <w:tr w:rsidR="006745B5" w:rsidRPr="00CD6ACD" w:rsidTr="00587D71">
        <w:trPr>
          <w:trHeight w:val="539"/>
          <w:jc w:val="center"/>
        </w:trPr>
        <w:tc>
          <w:tcPr>
            <w:tcW w:w="1696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604" w:right="172" w:hanging="4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ACTIVIDAD </w:t>
            </w:r>
          </w:p>
        </w:tc>
        <w:tc>
          <w:tcPr>
            <w:tcW w:w="5670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39" w:right="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PRODUCTOS</w:t>
            </w:r>
          </w:p>
        </w:tc>
        <w:tc>
          <w:tcPr>
            <w:tcW w:w="1752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442" w:right="3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FECHA</w:t>
            </w:r>
          </w:p>
        </w:tc>
      </w:tr>
      <w:tr w:rsidR="006745B5" w:rsidRPr="00CD6ACD" w:rsidTr="00587D71">
        <w:trPr>
          <w:trHeight w:val="2961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before="4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 w:righ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Revisión y valoración del listado de fuentes de información disponible para realizar la evaluación para el programa incluido en el Anexo 1; la minuta de la reunión inicial con los acuerdos sobre la información adicional solicitada; el listado de las fuentes de información disponibles para la evaluación, y la lista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asistencia original de la reunión inicial obligatoria.</w:t>
            </w:r>
          </w:p>
        </w:tc>
        <w:tc>
          <w:tcPr>
            <w:tcW w:w="1752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Pr="00CD6ACD">
              <w:rPr>
                <w:rFonts w:ascii="Arial" w:hAnsi="Arial" w:cs="Arial"/>
                <w:sz w:val="24"/>
                <w:szCs w:val="24"/>
              </w:rPr>
              <w:t>ero 2021</w:t>
            </w:r>
          </w:p>
        </w:tc>
      </w:tr>
      <w:tr w:rsidR="006745B5" w:rsidRPr="00CD6ACD" w:rsidTr="00587D71">
        <w:trPr>
          <w:trHeight w:val="612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before="168"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tabs>
                <w:tab w:val="left" w:pos="1170"/>
                <w:tab w:val="left" w:pos="2026"/>
                <w:tab w:val="left" w:pos="2561"/>
                <w:tab w:val="left" w:pos="3002"/>
                <w:tab w:val="left" w:pos="3645"/>
              </w:tabs>
              <w:spacing w:before="34" w:line="360" w:lineRule="auto"/>
              <w:ind w:left="112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Informe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>Inicial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 xml:space="preserve">la EED </w:t>
            </w:r>
            <w:r w:rsidRPr="00CD6ACD">
              <w:rPr>
                <w:rFonts w:ascii="Arial" w:hAnsi="Arial" w:cs="Arial"/>
                <w:spacing w:val="-6"/>
                <w:sz w:val="24"/>
                <w:szCs w:val="24"/>
              </w:rPr>
              <w:t xml:space="preserve">del </w:t>
            </w:r>
            <w:r w:rsidRPr="00CD6ACD">
              <w:rPr>
                <w:rFonts w:ascii="Arial" w:hAnsi="Arial" w:cs="Arial"/>
                <w:sz w:val="24"/>
                <w:szCs w:val="24"/>
              </w:rPr>
              <w:t>programa incluidos en el Anexo</w:t>
            </w:r>
            <w:r w:rsidRPr="00CD6AC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  <w:r w:rsidRPr="00CD6AC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6745B5" w:rsidRPr="00CD6ACD" w:rsidTr="00587D71">
        <w:trPr>
          <w:trHeight w:val="1348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before="220"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Informe</w:t>
            </w:r>
            <w:r w:rsidRPr="00CD6AC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Final</w:t>
            </w:r>
            <w:r w:rsidRPr="00CD6AC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de</w:t>
            </w:r>
            <w:r w:rsidRPr="00CD6AC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la</w:t>
            </w:r>
            <w:r w:rsidRPr="00CD6AC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EED</w:t>
            </w:r>
            <w:r w:rsidRPr="00CD6AC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del</w:t>
            </w:r>
            <w:r w:rsidRPr="00CD6ACD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programa incluido en el Anexo 1; la lista de asistencia original a la</w:t>
            </w:r>
            <w:r w:rsidRPr="00CD6AC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segunda</w:t>
            </w:r>
          </w:p>
          <w:p w:rsidR="006745B5" w:rsidRPr="00CD6ACD" w:rsidRDefault="006745B5" w:rsidP="00587D71">
            <w:pPr>
              <w:pStyle w:val="TableParagraph"/>
              <w:spacing w:before="8" w:line="360" w:lineRule="auto"/>
              <w:ind w:left="112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reunión obligatoria, y respuesta a comentarios.</w:t>
            </w:r>
          </w:p>
        </w:tc>
        <w:tc>
          <w:tcPr>
            <w:tcW w:w="1752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</w:t>
            </w:r>
            <w:r w:rsidRPr="00CD6AC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</w:tbl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D6ACD">
        <w:rPr>
          <w:rFonts w:ascii="Arial" w:hAnsi="Arial" w:cs="Arial"/>
          <w:b/>
          <w:color w:val="525252" w:themeColor="accent3" w:themeShade="80"/>
          <w:sz w:val="24"/>
          <w:szCs w:val="24"/>
        </w:rPr>
        <w:t>EQUIPO EVALUADOR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t>Se conforma el Comité Técnico de Evaluación del Desempeño del Instituto Tecnológico de estudios superiores de la Región Carbonífera, que desempeñara sus funciones de acuerdo a los lineamientos establecidos por el Consejo Nacional de Evaluación de la Política de Desarrollo Social (CONEVAL).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t>El Comité Técnico de Evaluación del Desempeño, que llevará a cabo la evaluación del desempeño para el ejercicio fiscal 2020.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5247"/>
        <w:gridCol w:w="4143"/>
      </w:tblGrid>
      <w:tr w:rsidR="006745B5" w:rsidRPr="00CD6ACD" w:rsidTr="00587D71">
        <w:tc>
          <w:tcPr>
            <w:tcW w:w="5247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Integrantes del Comité Técnico de Evaluación Del Desempeño</w:t>
            </w:r>
          </w:p>
        </w:tc>
        <w:tc>
          <w:tcPr>
            <w:tcW w:w="4143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Cargo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Ing. Ana Josefina Morales Cruz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180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Coordinadora de la Evaluación 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M.A. Hilda Cristina Martínez Tovar</w:t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2139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Auditor Interno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M.P. Verónica Rangel Medina </w:t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2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Auditor Interno 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line="312" w:lineRule="auto"/>
              <w:ind w:right="-79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M.P. Bertha Montemayor Villalobos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line="312" w:lineRule="auto"/>
              <w:ind w:right="-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Planeación y Transparencia </w:t>
            </w:r>
          </w:p>
        </w:tc>
      </w:tr>
    </w:tbl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Cs/>
          <w:color w:val="525252" w:themeColor="accent3" w:themeShade="80"/>
          <w:sz w:val="24"/>
          <w:szCs w:val="24"/>
        </w:rPr>
      </w:pPr>
    </w:p>
    <w:p w:rsidR="006745B5" w:rsidRPr="00CD6ACD" w:rsidRDefault="006745B5" w:rsidP="006745B5">
      <w:pPr>
        <w:spacing w:before="101" w:line="360" w:lineRule="auto"/>
        <w:ind w:left="1185" w:right="2142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D6ACD">
        <w:rPr>
          <w:rFonts w:ascii="Arial" w:hAnsi="Arial" w:cs="Arial"/>
          <w:b/>
          <w:color w:val="525252" w:themeColor="accent3" w:themeShade="80"/>
          <w:sz w:val="24"/>
          <w:szCs w:val="24"/>
        </w:rPr>
        <w:t>PROGRAMAS A EVALUAR</w:t>
      </w:r>
    </w:p>
    <w:p w:rsidR="006745B5" w:rsidRPr="00CD6ACD" w:rsidRDefault="006745B5" w:rsidP="006745B5">
      <w:pPr>
        <w:pStyle w:val="Textoindependiente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984"/>
        <w:gridCol w:w="2977"/>
      </w:tblGrid>
      <w:tr w:rsidR="006745B5" w:rsidRPr="00CD6ACD" w:rsidTr="00587D71">
        <w:trPr>
          <w:trHeight w:val="539"/>
        </w:trPr>
        <w:tc>
          <w:tcPr>
            <w:tcW w:w="709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Institución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67" w:right="42" w:firstLine="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Modalidad Presupuestal</w:t>
            </w:r>
          </w:p>
        </w:tc>
        <w:tc>
          <w:tcPr>
            <w:tcW w:w="1984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105" w:right="80" w:firstLine="35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Clave Presupuestal</w:t>
            </w:r>
          </w:p>
        </w:tc>
        <w:tc>
          <w:tcPr>
            <w:tcW w:w="2977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Nombre del Programa</w:t>
            </w:r>
          </w:p>
        </w:tc>
      </w:tr>
      <w:tr w:rsidR="006745B5" w:rsidRPr="00CD6ACD" w:rsidTr="00587D71">
        <w:trPr>
          <w:trHeight w:val="412"/>
        </w:trPr>
        <w:tc>
          <w:tcPr>
            <w:tcW w:w="709" w:type="dxa"/>
          </w:tcPr>
          <w:p w:rsidR="006745B5" w:rsidRPr="00CD6ACD" w:rsidRDefault="006745B5" w:rsidP="00587D71">
            <w:pPr>
              <w:pStyle w:val="TableParagraph"/>
              <w:spacing w:before="68" w:line="360" w:lineRule="auto"/>
              <w:ind w:left="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la Región Carbonífera 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U006</w:t>
            </w:r>
          </w:p>
        </w:tc>
        <w:tc>
          <w:tcPr>
            <w:tcW w:w="1984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U006</w:t>
            </w:r>
          </w:p>
        </w:tc>
        <w:tc>
          <w:tcPr>
            <w:tcW w:w="2977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“Subsidios federales para organismos descentralizados estatales”</w:t>
            </w:r>
          </w:p>
        </w:tc>
      </w:tr>
    </w:tbl>
    <w:p w:rsidR="006824D6" w:rsidRDefault="006824D6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2132" w:rsidRDefault="00932132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0201" w:rsidSect="00507DFC">
      <w:pgSz w:w="12240" w:h="15840"/>
      <w:pgMar w:top="993" w:right="560" w:bottom="1240" w:left="1520" w:header="708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87" w:rsidRDefault="00B92F87">
      <w:r>
        <w:separator/>
      </w:r>
    </w:p>
  </w:endnote>
  <w:endnote w:type="continuationSeparator" w:id="0">
    <w:p w:rsidR="00B92F87" w:rsidRDefault="00B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8" w:rsidRDefault="006745B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7E0BF" wp14:editId="1E25C273">
              <wp:simplePos x="0" y="0"/>
              <wp:positionH relativeFrom="page">
                <wp:posOffset>3783965</wp:posOffset>
              </wp:positionH>
              <wp:positionV relativeFrom="page">
                <wp:posOffset>9255760</wp:posOffset>
              </wp:positionV>
              <wp:extent cx="20637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5E8" w:rsidRDefault="006745B5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DFC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7E0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.95pt;margin-top:728.8pt;width:1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Bvs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55WKGUQlH4WKxDFz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" filled="f" stroked="f">
              <v:textbox inset="0,0,0,0">
                <w:txbxContent>
                  <w:p w:rsidR="000E75E8" w:rsidRDefault="006745B5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DFC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87" w:rsidRDefault="00B92F87">
      <w:r>
        <w:separator/>
      </w:r>
    </w:p>
  </w:footnote>
  <w:footnote w:type="continuationSeparator" w:id="0">
    <w:p w:rsidR="00B92F87" w:rsidRDefault="00B9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8" w:rsidRDefault="00B92F8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E8"/>
    <w:multiLevelType w:val="hybridMultilevel"/>
    <w:tmpl w:val="4F1674AC"/>
    <w:lvl w:ilvl="0" w:tplc="576C2EB4">
      <w:start w:val="1"/>
      <w:numFmt w:val="decimal"/>
      <w:lvlText w:val="%1."/>
      <w:lvlJc w:val="left"/>
      <w:pPr>
        <w:ind w:left="902" w:hanging="360"/>
        <w:jc w:val="left"/>
      </w:pPr>
      <w:rPr>
        <w:rFonts w:hint="default"/>
        <w:i/>
        <w:w w:val="100"/>
        <w:lang w:val="es-ES" w:eastAsia="es-ES" w:bidi="es-ES"/>
      </w:rPr>
    </w:lvl>
    <w:lvl w:ilvl="1" w:tplc="FD2AD786">
      <w:numFmt w:val="bullet"/>
      <w:lvlText w:val="●"/>
      <w:lvlJc w:val="left"/>
      <w:pPr>
        <w:ind w:left="10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E3B07286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100CEFAC">
      <w:numFmt w:val="bullet"/>
      <w:lvlText w:val="•"/>
      <w:lvlJc w:val="left"/>
      <w:pPr>
        <w:ind w:left="3066" w:hanging="360"/>
      </w:pPr>
      <w:rPr>
        <w:rFonts w:hint="default"/>
        <w:lang w:val="es-ES" w:eastAsia="es-ES" w:bidi="es-ES"/>
      </w:rPr>
    </w:lvl>
    <w:lvl w:ilvl="4" w:tplc="5FB03F6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A3A474A2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6" w:tplc="EDC09468">
      <w:numFmt w:val="bullet"/>
      <w:lvlText w:val="•"/>
      <w:lvlJc w:val="left"/>
      <w:pPr>
        <w:ind w:left="6106" w:hanging="360"/>
      </w:pPr>
      <w:rPr>
        <w:rFonts w:hint="default"/>
        <w:lang w:val="es-ES" w:eastAsia="es-ES" w:bidi="es-ES"/>
      </w:rPr>
    </w:lvl>
    <w:lvl w:ilvl="7" w:tplc="CFE40E7E">
      <w:numFmt w:val="bullet"/>
      <w:lvlText w:val="•"/>
      <w:lvlJc w:val="left"/>
      <w:pPr>
        <w:ind w:left="7120" w:hanging="360"/>
      </w:pPr>
      <w:rPr>
        <w:rFonts w:hint="default"/>
        <w:lang w:val="es-ES" w:eastAsia="es-ES" w:bidi="es-ES"/>
      </w:rPr>
    </w:lvl>
    <w:lvl w:ilvl="8" w:tplc="7C962086">
      <w:numFmt w:val="bullet"/>
      <w:lvlText w:val="•"/>
      <w:lvlJc w:val="left"/>
      <w:pPr>
        <w:ind w:left="813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A4B588B"/>
    <w:multiLevelType w:val="hybridMultilevel"/>
    <w:tmpl w:val="2E88A4A6"/>
    <w:lvl w:ilvl="0" w:tplc="15549A2C">
      <w:start w:val="1"/>
      <w:numFmt w:val="lowerLetter"/>
      <w:lvlText w:val="%1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i/>
        <w:color w:val="4471C4"/>
        <w:w w:val="100"/>
        <w:sz w:val="22"/>
        <w:szCs w:val="22"/>
        <w:lang w:val="es-ES" w:eastAsia="es-ES" w:bidi="es-ES"/>
      </w:rPr>
    </w:lvl>
    <w:lvl w:ilvl="1" w:tplc="0442BC54">
      <w:start w:val="1"/>
      <w:numFmt w:val="decimal"/>
      <w:lvlText w:val="%2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i/>
        <w:w w:val="100"/>
        <w:sz w:val="22"/>
        <w:szCs w:val="22"/>
        <w:lang w:val="es-ES" w:eastAsia="es-ES" w:bidi="es-ES"/>
      </w:rPr>
    </w:lvl>
    <w:lvl w:ilvl="2" w:tplc="8E8CFC18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C3029546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235E15BE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676049B4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CFE4061A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77E0326E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1620384A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5692BE4"/>
    <w:multiLevelType w:val="hybridMultilevel"/>
    <w:tmpl w:val="F0FEF98C"/>
    <w:lvl w:ilvl="0" w:tplc="3C98FA40">
      <w:start w:val="1"/>
      <w:numFmt w:val="decimal"/>
      <w:lvlText w:val="%1."/>
      <w:lvlJc w:val="left"/>
      <w:pPr>
        <w:ind w:left="894" w:hanging="356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es-ES" w:eastAsia="es-ES" w:bidi="es-ES"/>
      </w:rPr>
    </w:lvl>
    <w:lvl w:ilvl="1" w:tplc="19D8CBFC">
      <w:numFmt w:val="bullet"/>
      <w:lvlText w:val="•"/>
      <w:lvlJc w:val="left"/>
      <w:pPr>
        <w:ind w:left="1826" w:hanging="356"/>
      </w:pPr>
      <w:rPr>
        <w:rFonts w:hint="default"/>
        <w:lang w:val="es-ES" w:eastAsia="es-ES" w:bidi="es-ES"/>
      </w:rPr>
    </w:lvl>
    <w:lvl w:ilvl="2" w:tplc="0BC86604">
      <w:numFmt w:val="bullet"/>
      <w:lvlText w:val="•"/>
      <w:lvlJc w:val="left"/>
      <w:pPr>
        <w:ind w:left="2752" w:hanging="356"/>
      </w:pPr>
      <w:rPr>
        <w:rFonts w:hint="default"/>
        <w:lang w:val="es-ES" w:eastAsia="es-ES" w:bidi="es-ES"/>
      </w:rPr>
    </w:lvl>
    <w:lvl w:ilvl="3" w:tplc="0FE4EDDE">
      <w:numFmt w:val="bullet"/>
      <w:lvlText w:val="•"/>
      <w:lvlJc w:val="left"/>
      <w:pPr>
        <w:ind w:left="3678" w:hanging="356"/>
      </w:pPr>
      <w:rPr>
        <w:rFonts w:hint="default"/>
        <w:lang w:val="es-ES" w:eastAsia="es-ES" w:bidi="es-ES"/>
      </w:rPr>
    </w:lvl>
    <w:lvl w:ilvl="4" w:tplc="1F1A9238">
      <w:numFmt w:val="bullet"/>
      <w:lvlText w:val="•"/>
      <w:lvlJc w:val="left"/>
      <w:pPr>
        <w:ind w:left="4604" w:hanging="356"/>
      </w:pPr>
      <w:rPr>
        <w:rFonts w:hint="default"/>
        <w:lang w:val="es-ES" w:eastAsia="es-ES" w:bidi="es-ES"/>
      </w:rPr>
    </w:lvl>
    <w:lvl w:ilvl="5" w:tplc="F0F8E90E">
      <w:numFmt w:val="bullet"/>
      <w:lvlText w:val="•"/>
      <w:lvlJc w:val="left"/>
      <w:pPr>
        <w:ind w:left="5530" w:hanging="356"/>
      </w:pPr>
      <w:rPr>
        <w:rFonts w:hint="default"/>
        <w:lang w:val="es-ES" w:eastAsia="es-ES" w:bidi="es-ES"/>
      </w:rPr>
    </w:lvl>
    <w:lvl w:ilvl="6" w:tplc="49B4FECC">
      <w:numFmt w:val="bullet"/>
      <w:lvlText w:val="•"/>
      <w:lvlJc w:val="left"/>
      <w:pPr>
        <w:ind w:left="6456" w:hanging="356"/>
      </w:pPr>
      <w:rPr>
        <w:rFonts w:hint="default"/>
        <w:lang w:val="es-ES" w:eastAsia="es-ES" w:bidi="es-ES"/>
      </w:rPr>
    </w:lvl>
    <w:lvl w:ilvl="7" w:tplc="7D34B0EA">
      <w:numFmt w:val="bullet"/>
      <w:lvlText w:val="•"/>
      <w:lvlJc w:val="left"/>
      <w:pPr>
        <w:ind w:left="7382" w:hanging="356"/>
      </w:pPr>
      <w:rPr>
        <w:rFonts w:hint="default"/>
        <w:lang w:val="es-ES" w:eastAsia="es-ES" w:bidi="es-ES"/>
      </w:rPr>
    </w:lvl>
    <w:lvl w:ilvl="8" w:tplc="9164523A">
      <w:numFmt w:val="bullet"/>
      <w:lvlText w:val="•"/>
      <w:lvlJc w:val="left"/>
      <w:pPr>
        <w:ind w:left="8308" w:hanging="356"/>
      </w:pPr>
      <w:rPr>
        <w:rFonts w:hint="default"/>
        <w:lang w:val="es-ES" w:eastAsia="es-ES" w:bidi="es-ES"/>
      </w:rPr>
    </w:lvl>
  </w:abstractNum>
  <w:abstractNum w:abstractNumId="3" w15:restartNumberingAfterBreak="0">
    <w:nsid w:val="6DD1316A"/>
    <w:multiLevelType w:val="hybridMultilevel"/>
    <w:tmpl w:val="CE924D3E"/>
    <w:lvl w:ilvl="0" w:tplc="C4E8A746">
      <w:start w:val="1"/>
      <w:numFmt w:val="lowerLetter"/>
      <w:lvlText w:val="%1)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color w:val="365F92"/>
        <w:w w:val="100"/>
        <w:sz w:val="22"/>
        <w:szCs w:val="22"/>
        <w:lang w:val="es-ES" w:eastAsia="es-ES" w:bidi="es-ES"/>
      </w:rPr>
    </w:lvl>
    <w:lvl w:ilvl="1" w:tplc="CDF48712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35DA41D6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2584A3FA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3AD8EADA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754681A0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3F9488B6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4190B9D6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EB6EA0DC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76723287"/>
    <w:multiLevelType w:val="hybridMultilevel"/>
    <w:tmpl w:val="723846A2"/>
    <w:lvl w:ilvl="0" w:tplc="00621F1E">
      <w:numFmt w:val="bullet"/>
      <w:lvlText w:val="●"/>
      <w:lvlJc w:val="left"/>
      <w:pPr>
        <w:ind w:left="902" w:hanging="360"/>
      </w:pPr>
      <w:rPr>
        <w:rFonts w:hint="default"/>
        <w:color w:val="3B3838" w:themeColor="background2" w:themeShade="40"/>
        <w:w w:val="100"/>
        <w:lang w:val="es-ES" w:eastAsia="es-ES" w:bidi="es-ES"/>
      </w:rPr>
    </w:lvl>
    <w:lvl w:ilvl="1" w:tplc="D3DA0D36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0DB8B954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7E4A4134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CF1299DE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751080D4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AD96F108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4ADEA1DC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E8300292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7DC41DFD"/>
    <w:multiLevelType w:val="hybridMultilevel"/>
    <w:tmpl w:val="66507E10"/>
    <w:lvl w:ilvl="0" w:tplc="B3A66B52">
      <w:start w:val="1"/>
      <w:numFmt w:val="decimal"/>
      <w:lvlText w:val="%1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AB6037C8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4FA035F8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E2906ABC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2C6447D0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52A29D3E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032E3C2E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16425382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2CD09776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B5"/>
    <w:rsid w:val="0013627C"/>
    <w:rsid w:val="00171E69"/>
    <w:rsid w:val="00507DFC"/>
    <w:rsid w:val="006620C2"/>
    <w:rsid w:val="006745B5"/>
    <w:rsid w:val="00677669"/>
    <w:rsid w:val="006824D6"/>
    <w:rsid w:val="006D4804"/>
    <w:rsid w:val="00847038"/>
    <w:rsid w:val="00932132"/>
    <w:rsid w:val="00A00201"/>
    <w:rsid w:val="00B32262"/>
    <w:rsid w:val="00B81118"/>
    <w:rsid w:val="00B92F87"/>
    <w:rsid w:val="00C4663B"/>
    <w:rsid w:val="00D06442"/>
    <w:rsid w:val="00DD1D39"/>
    <w:rsid w:val="00D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3518-9FEA-4A42-8E2F-85E48E0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B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6745B5"/>
    <w:pPr>
      <w:ind w:left="182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745B5"/>
    <w:pPr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6745B5"/>
    <w:rPr>
      <w:rFonts w:ascii="Century Gothic" w:eastAsia="Century Gothic" w:hAnsi="Century Gothic" w:cs="Century Gothic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745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45B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45B5"/>
    <w:rPr>
      <w:rFonts w:ascii="Century Gothic" w:eastAsia="Century Gothic" w:hAnsi="Century Gothic" w:cs="Century Gothic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745B5"/>
  </w:style>
  <w:style w:type="table" w:styleId="Tablaconcuadrcula">
    <w:name w:val="Table Grid"/>
    <w:basedOn w:val="Tablanormal"/>
    <w:uiPriority w:val="39"/>
    <w:rsid w:val="006745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321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32132"/>
    <w:pPr>
      <w:ind w:left="902" w:hanging="360"/>
    </w:pPr>
  </w:style>
  <w:style w:type="paragraph" w:styleId="Encabezado">
    <w:name w:val="header"/>
    <w:basedOn w:val="Normal"/>
    <w:link w:val="EncabezadoCar"/>
    <w:uiPriority w:val="99"/>
    <w:unhideWhenUsed/>
    <w:rsid w:val="009321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132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321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132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1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132"/>
    <w:rPr>
      <w:rFonts w:ascii="Segoe UI" w:eastAsia="Century Gothic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1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21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2132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1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132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Montenegro</dc:creator>
  <cp:keywords/>
  <dc:description/>
  <cp:lastModifiedBy>Julio Montenegro</cp:lastModifiedBy>
  <cp:revision>6</cp:revision>
  <cp:lastPrinted>2020-06-08T21:20:00Z</cp:lastPrinted>
  <dcterms:created xsi:type="dcterms:W3CDTF">2020-05-20T16:32:00Z</dcterms:created>
  <dcterms:modified xsi:type="dcterms:W3CDTF">2020-07-01T16:34:00Z</dcterms:modified>
</cp:coreProperties>
</file>